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color w:val="0D0D0D"/>
          <w:sz w:val="52"/>
        </w:rPr>
        <w:t>Clerton Araujo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666666"/>
          <w:sz w:val="24"/>
        </w:rPr>
        <w:t>Senior Full Stack Software Engineer  ·  Berlin, Deutschland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666666"/>
          <w:sz w:val="20"/>
        </w:rPr>
        <w:t>+49 176 6232 2695  |  clertonfilho@gmail.com  |  linkedin.com/in/clerton  |  github.com/clertonraf</w:t>
      </w:r>
    </w:p>
    <w:p>
      <w:pPr>
        <w:spacing w:before="120" w:after="200"/>
        <w:pBdr>
          <w:bottom w:val="single" w:sz="10" w:space="1" w:color="1A6B41"/>
        </w:pBdr>
      </w:pP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BERUFSPROFIL</w:t>
      </w:r>
    </w:p>
    <w:p>
      <w:pPr>
        <w:spacing w:before="80" w:after="80"/>
      </w:pPr>
      <w:r>
        <w:rPr>
          <w:rFonts w:ascii="Calibri" w:hAnsi="Calibri"/>
          <w:b w:val="0"/>
          <w:i w:val="0"/>
          <w:color w:val="222222"/>
          <w:sz w:val="21"/>
        </w:rPr>
        <w:t>Senior Full Stack Software Engineer mit über 10 Jahren Erfahrung in der Konzeption, Entwicklung und Skalierung unternehmenskritischer Plattformen in den Bereichen Gesundheitswesen, Fintech und E-Government. Aktuell bei Doctolib (Berlin) mit Schwerpunkt auf der Integration der nationalen Telematikinfrastruktur (TI) für über 90 Millionen Patienten. Master in Informatik mit Spezialisierung auf Künstliche Intelligenz und semi-überwachtes Lernen. Experte für TypeScript/React, Ruby on Rails, Java/Spring sowie AWS/Azure. Fließend in Englisch; Deutsch B1.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TECHNISCHE FÄHIGKEITEN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Frontend:  </w:t>
      </w:r>
      <w:r>
        <w:rPr>
          <w:rFonts w:ascii="Calibri" w:hAnsi="Calibri"/>
          <w:b w:val="0"/>
          <w:i w:val="0"/>
          <w:color w:val="222222"/>
          <w:sz w:val="21"/>
        </w:rPr>
        <w:t>TypeScript · JavaScript · React · React Native · Redux · CSS · Design Systems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Backend:  </w:t>
      </w:r>
      <w:r>
        <w:rPr>
          <w:rFonts w:ascii="Calibri" w:hAnsi="Calibri"/>
          <w:b w:val="0"/>
          <w:i w:val="0"/>
          <w:color w:val="222222"/>
          <w:sz w:val="21"/>
        </w:rPr>
        <w:t>Ruby on Rails · Java · Spring Boot · Node.js · .NET Core · Python · Elixir · Scala · OCaml · COBOL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Cloud &amp; DevOps:  </w:t>
      </w:r>
      <w:r>
        <w:rPr>
          <w:rFonts w:ascii="Calibri" w:hAnsi="Calibri"/>
          <w:b w:val="0"/>
          <w:i w:val="0"/>
          <w:color w:val="222222"/>
          <w:sz w:val="21"/>
        </w:rPr>
        <w:t>AWS · Azure · Docker · Kubernetes · CI/CD · Datadog · Sentry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Datenbanken:  </w:t>
      </w:r>
      <w:r>
        <w:rPr>
          <w:rFonts w:ascii="Calibri" w:hAnsi="Calibri"/>
          <w:b w:val="0"/>
          <w:i w:val="0"/>
          <w:color w:val="222222"/>
          <w:sz w:val="21"/>
        </w:rPr>
        <w:t>PostgreSQL · MongoDB · Microsoft SQL Server · Couchbase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Praktiken:  </w:t>
      </w:r>
      <w:r>
        <w:rPr>
          <w:rFonts w:ascii="Calibri" w:hAnsi="Calibri"/>
          <w:b w:val="0"/>
          <w:i w:val="0"/>
          <w:color w:val="222222"/>
          <w:sz w:val="21"/>
        </w:rPr>
        <w:t>System Design · Microservices · DSGVO · eHealth-Konformität (§75b SGB V) · TDD · Agile/Scrum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BERUFSERFAHRUNG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Doctolib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Okt 2021 → Heute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Senior Full Stack Software Engineer  ·  Berlin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Entwurf DSGVO- und §75b SGB V-konformer Sicherheitsprotokolle für die nationale Telematikinfrastruktur (TI) – 90 Mio.+ Patienten bei 300.000+ Leistungserbringern.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Migration eines monolithischen Rails-Systems auf unabhängig deploybare Microservices – geringeres Release-Risiko und erhöhte Deploymentfrequenz.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Technische Konzeptionierung für 5+ Produktteams: Überführung gesundheitsrechtlicher Anforderungen in umsetzbare Engineering-Roadmaps.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Einführung von Observability-Lösungen (Datadog/Sentry) zur Verbesserung der Fehlerdetektionszeit (MTTD) im Produktionsbetrieb.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TypeScript · React · Ruby on Rails · PostgreSQL · Java · Spring · Docker · AWS · Datadog · Sentry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Issuu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Dez 2020 → Sep 2021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Full Stack Developer  ·  Berlin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Standardisierung des internen Design Systems für konsistente UI und gesteigerte Entwicklereffizienz im gesamten Produktportfolio.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Integration eines Headless CMS sowie Optimierung von User-Engagement-Funnels in enger Zusammenarbeit mit Marketing und Produkt.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Entwicklung hochperformanter Backend-Services mit TypeScript, Elixir und OCaml.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TypeScript · React · Node.js · Python · Elixir · OCaml · PostgreSQL · Docker · AWS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LQ Enterprise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Jul 2018 → Dez 2020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Senior Software Engineer  ·  Berlin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Konzeption und Launch einer preisgekrönten E-Government-Plattform für den deutschen öffentlichen Sektor mit Fokus auf Sicherheit und Barrierefreiheit.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Entwicklung einer mehrsprachigen Plattform (Deutsch, Arabisch, Farsi, Englisch) zur Erweiterung der Nutzergruppen.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Implementierung sicherer Backend-Services mit .NET Core und Verwaltung von Cloud-Deployments auf Azure.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TypeScript · React · .NET Core · PostgreSQL · Azure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Softplan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Mai 2017 → Jun 2018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Software Engineer  ·  Florianópolis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Entwicklung eines mobilen Bußgeldsystems für die brasilianische Polizei sowie eines Bürgerservice-Portals für die Stadt Florianópolis.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Aufbau eines Terminvergabesystems für Anwälte der brasilianischen Regierung mit Java- und Scala-Backend.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React · React Native · Java · Scala · Node.js · Spring · MS SQL · Couchbase · Docker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Bradesco Bank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Nov 2016 → Apr 2017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Lead Software Developer  ·  Curitiba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Launch des ersten Online-Versicherungsmarktplatzes Brasiliens und Leitung der Entwicklung einer Geo-Tracking-App für Echtzeit-Angebote.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Java · Spring · IBM WebSphere · MongoDB · Android · Swift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HSBC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Mär 2013 → Okt 2016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Senior Software Developer  ·  Curitiba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Betrieb öffentlicher Web-Applikationen für HSBC Brasilien mit 140 Mio.+ Jahresbesuchen unter Gewährleistung hoher Verfügbarkeit.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Implementierung einer globalen Online-Authentifizierungsstrategie zur Sicherung des Online-Bankings für Millionen HSBC-Kunden.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Integration von Java/Spring-Services mit Legacy-COBOL-Mainframe-Systemen ohne Dienstunterbrechung.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Java · Spring · IBM WebSphere · COBOL mainframe integration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AUSBILDUNG</w:t>
      </w:r>
    </w:p>
    <w:p>
      <w:pPr>
        <w:tabs>
          <w:tab w:pos="9360" w:val="right"/>
        </w:tabs>
        <w:spacing w:before="100" w:after="20"/>
      </w:pPr>
      <w:r>
        <w:rPr>
          <w:rFonts w:ascii="Calibri" w:hAnsi="Calibri"/>
          <w:b/>
          <w:i w:val="0"/>
          <w:color w:val="1A6B41"/>
          <w:sz w:val="21"/>
        </w:rPr>
        <w:t>Master in Informatik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2009 – 2011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66666"/>
          <w:sz w:val="20"/>
        </w:rPr>
        <w:t>Bundesuniversität Pernambuco  ·  Recife</w:t>
      </w:r>
    </w:p>
    <w:p>
      <w:pPr>
        <w:spacing w:before="20" w:after="20"/>
      </w:pPr>
      <w:r>
        <w:rPr>
          <w:rFonts w:ascii="Calibri" w:hAnsi="Calibri"/>
          <w:b w:val="0"/>
          <w:i/>
          <w:color w:val="666666"/>
          <w:sz w:val="19"/>
        </w:rPr>
        <w:t>Spezialisierung: Künstliche Intelligenz — semi-überwachtes Lernen und datenintensive Anwendungen.</w:t>
      </w:r>
    </w:p>
    <w:p>
      <w:pPr>
        <w:tabs>
          <w:tab w:pos="9360" w:val="right"/>
        </w:tabs>
        <w:spacing w:before="100" w:after="20"/>
      </w:pPr>
      <w:r>
        <w:rPr>
          <w:rFonts w:ascii="Calibri" w:hAnsi="Calibri"/>
          <w:b/>
          <w:i w:val="0"/>
          <w:color w:val="1A6B41"/>
          <w:sz w:val="21"/>
        </w:rPr>
        <w:t>Bachelor in Informatik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2004 – 2009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66666"/>
          <w:sz w:val="20"/>
        </w:rPr>
        <w:t>Bundesuniversität Campina Grande  ·  Campina Grande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VERÖFFENTLICHUNGEN</w:t>
      </w:r>
    </w:p>
    <w:p>
      <w:pPr>
        <w:spacing w:before="80" w:after="20"/>
      </w:pPr>
      <w:r>
        <w:rPr>
          <w:rFonts w:ascii="Calibri" w:hAnsi="Calibri"/>
          <w:b/>
          <w:i w:val="0"/>
          <w:color w:val="222222"/>
          <w:sz w:val="21"/>
        </w:rPr>
        <w:t>Semi-supervised Approach for Finding Cancer Sub-classes on Gene Expression Data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66666"/>
          <w:sz w:val="19"/>
        </w:rPr>
        <w:t>ICANN 2010  ·  Springer  ·  doi:10.1007/978-3-642-15060-9_3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ZERTIFIZIERUNGEN &amp; SPRACHEN</w:t>
      </w:r>
    </w:p>
    <w:p>
      <w:pPr>
        <w:tabs>
          <w:tab w:pos="9360" w:val="right"/>
        </w:tabs>
        <w:spacing w:before="40" w:after="40"/>
      </w:pPr>
      <w:r>
        <w:rPr>
          <w:rFonts w:ascii="Calibri" w:hAnsi="Calibri"/>
          <w:b w:val="0"/>
          <w:i w:val="0"/>
          <w:color w:val="222222"/>
          <w:sz w:val="21"/>
        </w:rPr>
        <w:t>Certified Scrum Product Owner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2015</w:t>
      </w:r>
    </w:p>
    <w:p>
      <w:pPr>
        <w:tabs>
          <w:tab w:pos="9360" w:val="right"/>
        </w:tabs>
        <w:spacing w:before="40" w:after="40"/>
      </w:pPr>
      <w:r>
        <w:rPr>
          <w:rFonts w:ascii="Calibri" w:hAnsi="Calibri"/>
          <w:b w:val="0"/>
          <w:i w:val="0"/>
          <w:color w:val="222222"/>
          <w:sz w:val="21"/>
        </w:rPr>
        <w:t>HSBC Team Awards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2015, 2016</w:t>
      </w:r>
    </w:p>
    <w:p>
      <w:pPr>
        <w:spacing w:before="160" w:after="40"/>
      </w:pPr>
      <w:r>
        <w:rPr>
          <w:rFonts w:ascii="Calibri" w:hAnsi="Calibri"/>
          <w:b/>
          <w:i w:val="0"/>
          <w:color w:val="222222"/>
          <w:sz w:val="21"/>
        </w:rPr>
        <w:t>Sprachen</w:t>
      </w:r>
    </w:p>
    <w:p>
      <w:pPr>
        <w:spacing w:before="20" w:after="20"/>
      </w:pPr>
      <w:r>
        <w:rPr>
          <w:rFonts w:ascii="Calibri" w:hAnsi="Calibri"/>
          <w:b/>
          <w:i w:val="0"/>
          <w:color w:val="1A6B41"/>
          <w:sz w:val="21"/>
        </w:rPr>
        <w:t xml:space="preserve">Englisch:  </w:t>
      </w:r>
      <w:r>
        <w:rPr>
          <w:rFonts w:ascii="Calibri" w:hAnsi="Calibri"/>
          <w:b w:val="0"/>
          <w:i w:val="0"/>
          <w:color w:val="222222"/>
          <w:sz w:val="21"/>
        </w:rPr>
        <w:t>Fließend (professionell)</w:t>
      </w:r>
    </w:p>
    <w:p>
      <w:pPr>
        <w:spacing w:before="20" w:after="20"/>
      </w:pPr>
      <w:r>
        <w:rPr>
          <w:rFonts w:ascii="Calibri" w:hAnsi="Calibri"/>
          <w:b/>
          <w:i w:val="0"/>
          <w:color w:val="1A6B41"/>
          <w:sz w:val="21"/>
        </w:rPr>
        <w:t xml:space="preserve">Portugiesisch:  </w:t>
      </w:r>
      <w:r>
        <w:rPr>
          <w:rFonts w:ascii="Calibri" w:hAnsi="Calibri"/>
          <w:b w:val="0"/>
          <w:i w:val="0"/>
          <w:color w:val="222222"/>
          <w:sz w:val="21"/>
        </w:rPr>
        <w:t>Muttersprache</w:t>
      </w:r>
    </w:p>
    <w:p>
      <w:pPr>
        <w:spacing w:before="20" w:after="20"/>
      </w:pPr>
      <w:r>
        <w:rPr>
          <w:rFonts w:ascii="Calibri" w:hAnsi="Calibri"/>
          <w:b/>
          <w:i w:val="0"/>
          <w:color w:val="1A6B41"/>
          <w:sz w:val="21"/>
        </w:rPr>
        <w:t xml:space="preserve">Deutsch:  </w:t>
      </w:r>
      <w:r>
        <w:rPr>
          <w:rFonts w:ascii="Calibri" w:hAnsi="Calibri"/>
          <w:b w:val="0"/>
          <w:i w:val="0"/>
          <w:color w:val="222222"/>
          <w:sz w:val="21"/>
        </w:rPr>
        <w:t>B1 — Deutsch-Test für Zuwanderer (2020)</w:t>
      </w:r>
    </w:p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